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C7A" w:rsidRDefault="00FD2C7A" w:rsidP="00FD2C7A">
      <w:pPr>
        <w:spacing w:line="480" w:lineRule="auto"/>
        <w:jc w:val="center"/>
        <w:rPr>
          <w:rFonts w:ascii="Times New Roman" w:hAnsi="Times New Roman" w:cs="Times New Roman"/>
          <w:sz w:val="24"/>
          <w:szCs w:val="24"/>
        </w:rPr>
      </w:pPr>
    </w:p>
    <w:p w:rsidR="00FD2C7A" w:rsidRDefault="00FD2C7A" w:rsidP="00FD2C7A">
      <w:pPr>
        <w:spacing w:line="480" w:lineRule="auto"/>
        <w:jc w:val="center"/>
        <w:rPr>
          <w:rFonts w:ascii="Times New Roman" w:hAnsi="Times New Roman" w:cs="Times New Roman"/>
          <w:sz w:val="24"/>
          <w:szCs w:val="24"/>
        </w:rPr>
      </w:pPr>
    </w:p>
    <w:p w:rsidR="00FD2C7A" w:rsidRDefault="00FD2C7A" w:rsidP="00FD2C7A">
      <w:pPr>
        <w:spacing w:line="480" w:lineRule="auto"/>
        <w:jc w:val="center"/>
        <w:rPr>
          <w:rFonts w:ascii="Times New Roman" w:hAnsi="Times New Roman" w:cs="Times New Roman"/>
          <w:sz w:val="24"/>
          <w:szCs w:val="24"/>
        </w:rPr>
      </w:pPr>
    </w:p>
    <w:p w:rsidR="00FD2C7A" w:rsidRDefault="00FD2C7A" w:rsidP="00FD2C7A">
      <w:pPr>
        <w:spacing w:line="480" w:lineRule="auto"/>
        <w:jc w:val="center"/>
        <w:rPr>
          <w:rFonts w:ascii="Times New Roman" w:hAnsi="Times New Roman" w:cs="Times New Roman"/>
          <w:sz w:val="24"/>
          <w:szCs w:val="24"/>
        </w:rPr>
      </w:pPr>
    </w:p>
    <w:p w:rsidR="00FD2C7A" w:rsidRDefault="00FD2C7A" w:rsidP="00FD2C7A">
      <w:pPr>
        <w:spacing w:line="480" w:lineRule="auto"/>
        <w:jc w:val="center"/>
        <w:rPr>
          <w:rFonts w:ascii="Times New Roman" w:hAnsi="Times New Roman" w:cs="Times New Roman"/>
          <w:sz w:val="24"/>
          <w:szCs w:val="24"/>
        </w:rPr>
      </w:pPr>
    </w:p>
    <w:p w:rsidR="00FD2C7A" w:rsidRDefault="00FD2C7A" w:rsidP="00FD2C7A">
      <w:pPr>
        <w:spacing w:line="480" w:lineRule="auto"/>
        <w:jc w:val="center"/>
        <w:rPr>
          <w:rFonts w:ascii="Times New Roman" w:hAnsi="Times New Roman" w:cs="Times New Roman"/>
          <w:sz w:val="24"/>
          <w:szCs w:val="24"/>
        </w:rPr>
      </w:pPr>
    </w:p>
    <w:p w:rsidR="00FD2C7A" w:rsidRDefault="00FD2C7A" w:rsidP="00FD2C7A">
      <w:pPr>
        <w:spacing w:line="480" w:lineRule="auto"/>
        <w:jc w:val="center"/>
        <w:rPr>
          <w:rFonts w:ascii="Times New Roman" w:hAnsi="Times New Roman" w:cs="Times New Roman"/>
          <w:sz w:val="24"/>
          <w:szCs w:val="24"/>
        </w:rPr>
      </w:pPr>
    </w:p>
    <w:p w:rsidR="00FD2C7A" w:rsidRDefault="00FD2C7A" w:rsidP="00FD2C7A">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Law against Funding of Terror Groups</w:t>
      </w:r>
    </w:p>
    <w:bookmarkEnd w:id="0"/>
    <w:p w:rsidR="00FD2C7A" w:rsidRDefault="0066153E" w:rsidP="00FD2C7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FD2C7A">
        <w:rPr>
          <w:rFonts w:ascii="Times New Roman" w:hAnsi="Times New Roman" w:cs="Times New Roman"/>
          <w:sz w:val="24"/>
          <w:szCs w:val="24"/>
        </w:rPr>
        <w:t>Name</w:t>
      </w:r>
    </w:p>
    <w:p w:rsidR="00FD2C7A" w:rsidRDefault="00FD2C7A" w:rsidP="00FD2C7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66153E">
        <w:rPr>
          <w:rFonts w:ascii="Times New Roman" w:hAnsi="Times New Roman" w:cs="Times New Roman"/>
          <w:sz w:val="24"/>
          <w:szCs w:val="24"/>
        </w:rPr>
        <w:t>al Affiliation</w:t>
      </w:r>
    </w:p>
    <w:p w:rsidR="00FD2C7A" w:rsidRDefault="00FD2C7A" w:rsidP="00AD1124">
      <w:pPr>
        <w:spacing w:line="480" w:lineRule="auto"/>
        <w:rPr>
          <w:rFonts w:ascii="Times New Roman" w:hAnsi="Times New Roman" w:cs="Times New Roman"/>
          <w:sz w:val="24"/>
          <w:szCs w:val="24"/>
        </w:rPr>
      </w:pPr>
    </w:p>
    <w:p w:rsidR="00FD2C7A" w:rsidRDefault="00FD2C7A" w:rsidP="00AD1124">
      <w:pPr>
        <w:spacing w:line="480" w:lineRule="auto"/>
        <w:rPr>
          <w:rFonts w:ascii="Times New Roman" w:hAnsi="Times New Roman" w:cs="Times New Roman"/>
          <w:sz w:val="24"/>
          <w:szCs w:val="24"/>
        </w:rPr>
      </w:pPr>
    </w:p>
    <w:p w:rsidR="00FD2C7A" w:rsidRDefault="00FD2C7A" w:rsidP="00AD1124">
      <w:pPr>
        <w:spacing w:line="480" w:lineRule="auto"/>
        <w:rPr>
          <w:rFonts w:ascii="Times New Roman" w:hAnsi="Times New Roman" w:cs="Times New Roman"/>
          <w:sz w:val="24"/>
          <w:szCs w:val="24"/>
        </w:rPr>
      </w:pPr>
    </w:p>
    <w:p w:rsidR="00FD2C7A" w:rsidRDefault="00FD2C7A" w:rsidP="00AD1124">
      <w:pPr>
        <w:spacing w:line="480" w:lineRule="auto"/>
        <w:rPr>
          <w:rFonts w:ascii="Times New Roman" w:hAnsi="Times New Roman" w:cs="Times New Roman"/>
          <w:sz w:val="24"/>
          <w:szCs w:val="24"/>
        </w:rPr>
      </w:pPr>
    </w:p>
    <w:p w:rsidR="00FD2C7A" w:rsidRDefault="00FD2C7A" w:rsidP="00AD1124">
      <w:pPr>
        <w:spacing w:line="480" w:lineRule="auto"/>
        <w:rPr>
          <w:rFonts w:ascii="Times New Roman" w:hAnsi="Times New Roman" w:cs="Times New Roman"/>
          <w:sz w:val="24"/>
          <w:szCs w:val="24"/>
        </w:rPr>
      </w:pPr>
    </w:p>
    <w:p w:rsidR="00FD2C7A" w:rsidRDefault="00FD2C7A" w:rsidP="00AD1124">
      <w:pPr>
        <w:spacing w:line="480" w:lineRule="auto"/>
        <w:rPr>
          <w:rFonts w:ascii="Times New Roman" w:hAnsi="Times New Roman" w:cs="Times New Roman"/>
          <w:sz w:val="24"/>
          <w:szCs w:val="24"/>
        </w:rPr>
      </w:pPr>
    </w:p>
    <w:p w:rsidR="00FD2C7A" w:rsidRDefault="00FD2C7A" w:rsidP="00AD1124">
      <w:pPr>
        <w:spacing w:line="480" w:lineRule="auto"/>
        <w:rPr>
          <w:rFonts w:ascii="Times New Roman" w:hAnsi="Times New Roman" w:cs="Times New Roman"/>
          <w:sz w:val="24"/>
          <w:szCs w:val="24"/>
        </w:rPr>
      </w:pPr>
    </w:p>
    <w:p w:rsidR="00FD2C7A" w:rsidRDefault="00FD2C7A" w:rsidP="00AD1124">
      <w:pPr>
        <w:spacing w:line="480" w:lineRule="auto"/>
        <w:rPr>
          <w:rFonts w:ascii="Times New Roman" w:hAnsi="Times New Roman" w:cs="Times New Roman"/>
          <w:sz w:val="24"/>
          <w:szCs w:val="24"/>
        </w:rPr>
      </w:pPr>
    </w:p>
    <w:p w:rsidR="0066153E" w:rsidRPr="0066153E" w:rsidRDefault="0066153E" w:rsidP="0066153E">
      <w:pPr>
        <w:spacing w:line="480" w:lineRule="auto"/>
        <w:jc w:val="center"/>
        <w:rPr>
          <w:rFonts w:ascii="Times New Roman" w:hAnsi="Times New Roman" w:cs="Times New Roman"/>
          <w:sz w:val="24"/>
          <w:szCs w:val="24"/>
        </w:rPr>
      </w:pPr>
      <w:r w:rsidRPr="0066153E">
        <w:rPr>
          <w:rFonts w:ascii="Times New Roman" w:hAnsi="Times New Roman" w:cs="Times New Roman"/>
          <w:sz w:val="24"/>
          <w:szCs w:val="24"/>
        </w:rPr>
        <w:lastRenderedPageBreak/>
        <w:t>Law against Funding of Terror Groups</w:t>
      </w:r>
    </w:p>
    <w:p w:rsidR="00AD1124" w:rsidRPr="00AD1124" w:rsidRDefault="00AD1124" w:rsidP="00FD2C7A">
      <w:pPr>
        <w:spacing w:line="480" w:lineRule="auto"/>
        <w:ind w:firstLine="720"/>
        <w:rPr>
          <w:rFonts w:ascii="Times New Roman" w:hAnsi="Times New Roman" w:cs="Times New Roman"/>
          <w:sz w:val="24"/>
          <w:szCs w:val="24"/>
        </w:rPr>
      </w:pPr>
      <w:r w:rsidRPr="00AD1124">
        <w:rPr>
          <w:rFonts w:ascii="Times New Roman" w:hAnsi="Times New Roman" w:cs="Times New Roman"/>
          <w:sz w:val="24"/>
          <w:szCs w:val="24"/>
        </w:rPr>
        <w:t xml:space="preserve">The United States diplomatic effort to promote anti-crime and counterterrorism goals through bilateral, </w:t>
      </w:r>
      <w:proofErr w:type="gramStart"/>
      <w:r w:rsidRPr="00AD1124">
        <w:rPr>
          <w:rFonts w:ascii="Times New Roman" w:hAnsi="Times New Roman" w:cs="Times New Roman"/>
          <w:sz w:val="24"/>
          <w:szCs w:val="24"/>
        </w:rPr>
        <w:t>regional</w:t>
      </w:r>
      <w:proofErr w:type="gramEnd"/>
      <w:r w:rsidRPr="00AD1124">
        <w:rPr>
          <w:rFonts w:ascii="Times New Roman" w:hAnsi="Times New Roman" w:cs="Times New Roman"/>
          <w:sz w:val="24"/>
          <w:szCs w:val="24"/>
        </w:rPr>
        <w:t xml:space="preserve"> and multilateral mechanisms seem to work because collaboration with other states in fighting terrorist activities is a joint venture. When countries collaborate, those involved in cross-border criminals and terrorism can be deported to their countries or tried in the country where the crime occurred. This means that those involved in terrorist activities can be extradited to be tried in the US courts. </w:t>
      </w:r>
    </w:p>
    <w:p w:rsidR="00AD1124" w:rsidRPr="00FD2C7A" w:rsidRDefault="00AD1124" w:rsidP="00FD2C7A">
      <w:pPr>
        <w:spacing w:line="480" w:lineRule="auto"/>
        <w:jc w:val="center"/>
        <w:rPr>
          <w:rFonts w:ascii="Times New Roman" w:hAnsi="Times New Roman" w:cs="Times New Roman"/>
          <w:b/>
          <w:sz w:val="24"/>
          <w:szCs w:val="24"/>
        </w:rPr>
      </w:pPr>
      <w:r w:rsidRPr="00FD2C7A">
        <w:rPr>
          <w:rFonts w:ascii="Times New Roman" w:hAnsi="Times New Roman" w:cs="Times New Roman"/>
          <w:b/>
          <w:sz w:val="24"/>
          <w:szCs w:val="24"/>
        </w:rPr>
        <w:t>Weaknesses in Prosecuting National Strategies</w:t>
      </w:r>
    </w:p>
    <w:p w:rsidR="00AD1124" w:rsidRPr="00AD1124" w:rsidRDefault="00AD1124" w:rsidP="00FD2C7A">
      <w:pPr>
        <w:spacing w:line="480" w:lineRule="auto"/>
        <w:ind w:firstLine="720"/>
        <w:rPr>
          <w:rFonts w:ascii="Times New Roman" w:hAnsi="Times New Roman" w:cs="Times New Roman"/>
          <w:sz w:val="24"/>
          <w:szCs w:val="24"/>
        </w:rPr>
      </w:pPr>
      <w:r w:rsidRPr="00AD1124">
        <w:rPr>
          <w:rFonts w:ascii="Times New Roman" w:hAnsi="Times New Roman" w:cs="Times New Roman"/>
          <w:sz w:val="24"/>
          <w:szCs w:val="24"/>
        </w:rPr>
        <w:t>Transnational crime is a well-organized crime where the perpetrators establish an elaborate link to prevent or avoid being detected. Some countries are not keen on investigating or prosecuting those involved in terrorism or transnational crimes. Relying on the other countries to extradite or prosecute a transnational criminal is one weakness of the United States national strategies. Collaboration with other states through bilateral and regional mechanism derails the process of dealing with the criminal because the countries should be involved in negotiations when their citizens are involved. The national strategies are successful in that there are gathering and sharing of intelligence that seeks to establish increased collaboration among law enforcement authorities. Some of the entities that facilitate information sharing include The Special Operations Division and the International Organized Crime Intelligenc</w:t>
      </w:r>
      <w:r w:rsidR="00FD2C7A">
        <w:rPr>
          <w:rFonts w:ascii="Times New Roman" w:hAnsi="Times New Roman" w:cs="Times New Roman"/>
          <w:sz w:val="24"/>
          <w:szCs w:val="24"/>
        </w:rPr>
        <w:t xml:space="preserve">e and Operations Center (IOC-2). </w:t>
      </w:r>
      <w:r w:rsidRPr="00AD1124">
        <w:rPr>
          <w:rFonts w:ascii="Times New Roman" w:hAnsi="Times New Roman" w:cs="Times New Roman"/>
          <w:sz w:val="24"/>
          <w:szCs w:val="24"/>
        </w:rPr>
        <w:t xml:space="preserve">Information sharing and intelligence gathering have helped avert crimes like terrorism. </w:t>
      </w:r>
    </w:p>
    <w:p w:rsidR="00FD2C7A" w:rsidRDefault="00FD2C7A" w:rsidP="00AD1124">
      <w:pPr>
        <w:spacing w:line="480" w:lineRule="auto"/>
        <w:rPr>
          <w:rFonts w:ascii="Times New Roman" w:hAnsi="Times New Roman" w:cs="Times New Roman"/>
          <w:b/>
          <w:sz w:val="24"/>
          <w:szCs w:val="24"/>
        </w:rPr>
      </w:pPr>
    </w:p>
    <w:p w:rsidR="00FD2C7A" w:rsidRDefault="00FD2C7A" w:rsidP="00AD1124">
      <w:pPr>
        <w:spacing w:line="480" w:lineRule="auto"/>
        <w:rPr>
          <w:rFonts w:ascii="Times New Roman" w:hAnsi="Times New Roman" w:cs="Times New Roman"/>
          <w:b/>
          <w:sz w:val="24"/>
          <w:szCs w:val="24"/>
        </w:rPr>
      </w:pPr>
    </w:p>
    <w:p w:rsidR="00AD1124" w:rsidRPr="00AD1124" w:rsidRDefault="00AD1124" w:rsidP="00FD2C7A">
      <w:pPr>
        <w:spacing w:line="480" w:lineRule="auto"/>
        <w:jc w:val="center"/>
        <w:rPr>
          <w:rFonts w:ascii="Times New Roman" w:hAnsi="Times New Roman" w:cs="Times New Roman"/>
          <w:sz w:val="24"/>
          <w:szCs w:val="24"/>
        </w:rPr>
      </w:pPr>
      <w:r w:rsidRPr="00FD2C7A">
        <w:rPr>
          <w:rFonts w:ascii="Times New Roman" w:hAnsi="Times New Roman" w:cs="Times New Roman"/>
          <w:b/>
          <w:i/>
          <w:sz w:val="24"/>
          <w:szCs w:val="24"/>
        </w:rPr>
        <w:lastRenderedPageBreak/>
        <w:t>Racketeer Influenced and Corrupt Organizations</w:t>
      </w:r>
      <w:r>
        <w:rPr>
          <w:rFonts w:ascii="Times New Roman" w:hAnsi="Times New Roman" w:cs="Times New Roman"/>
          <w:sz w:val="24"/>
          <w:szCs w:val="24"/>
        </w:rPr>
        <w:t xml:space="preserve"> </w:t>
      </w:r>
      <w:r w:rsidRPr="00AD1124">
        <w:rPr>
          <w:rFonts w:ascii="Times New Roman" w:hAnsi="Times New Roman" w:cs="Times New Roman"/>
          <w:sz w:val="24"/>
          <w:szCs w:val="24"/>
        </w:rPr>
        <w:t>Act Title 18 U.S. Code Chapter 96</w:t>
      </w:r>
    </w:p>
    <w:p w:rsidR="00AD1124" w:rsidRPr="00AD1124" w:rsidRDefault="00AD1124" w:rsidP="00AD1124">
      <w:pPr>
        <w:spacing w:line="480" w:lineRule="auto"/>
        <w:ind w:firstLine="720"/>
        <w:rPr>
          <w:rFonts w:ascii="Times New Roman" w:hAnsi="Times New Roman" w:cs="Times New Roman"/>
          <w:sz w:val="24"/>
          <w:szCs w:val="24"/>
        </w:rPr>
      </w:pPr>
      <w:r w:rsidRPr="00AD1124">
        <w:rPr>
          <w:rFonts w:ascii="Times New Roman" w:hAnsi="Times New Roman" w:cs="Times New Roman"/>
          <w:sz w:val="24"/>
          <w:szCs w:val="24"/>
        </w:rPr>
        <w:t>The RICO Act was enacted with an objective of prohibiting any person from benefiting from racketeering activity that involves murder, kidnapping, gambling, arson, robbery, bribery or extortion as well as dealing with controlled substance</w:t>
      </w:r>
      <w:r w:rsidR="007F1AAF">
        <w:rPr>
          <w:rFonts w:ascii="Times New Roman" w:hAnsi="Times New Roman" w:cs="Times New Roman"/>
          <w:sz w:val="24"/>
          <w:szCs w:val="24"/>
        </w:rPr>
        <w:t xml:space="preserve"> (Hill, 2017)</w:t>
      </w:r>
      <w:r w:rsidRPr="00AD1124">
        <w:rPr>
          <w:rFonts w:ascii="Times New Roman" w:hAnsi="Times New Roman" w:cs="Times New Roman"/>
          <w:sz w:val="24"/>
          <w:szCs w:val="24"/>
        </w:rPr>
        <w:t xml:space="preserve">. S.1962 (a) </w:t>
      </w:r>
      <w:r w:rsidR="00FD2C7A">
        <w:rPr>
          <w:rFonts w:ascii="Times New Roman" w:hAnsi="Times New Roman" w:cs="Times New Roman"/>
          <w:sz w:val="24"/>
          <w:szCs w:val="24"/>
        </w:rPr>
        <w:t xml:space="preserve">of the Act </w:t>
      </w:r>
      <w:r w:rsidRPr="00AD1124">
        <w:rPr>
          <w:rFonts w:ascii="Times New Roman" w:hAnsi="Times New Roman" w:cs="Times New Roman"/>
          <w:sz w:val="24"/>
          <w:szCs w:val="24"/>
        </w:rPr>
        <w:t xml:space="preserve">prohibits a person from investing either directly or indirectly money obtained from racketeering activities. This, therefore, means that implementation of the section would compel an individual not to use the funds obtained through racketeering to support transnational crime. Dirty money is mostly cleaned at gambling sites, this, therefore, promotes the crime of money laundering. Implementation of this section would, therefore, curtail crimes such as money laundering. </w:t>
      </w:r>
    </w:p>
    <w:p w:rsidR="00AD1124" w:rsidRPr="00AD1124" w:rsidRDefault="00AD1124" w:rsidP="00AD1124">
      <w:pPr>
        <w:spacing w:line="480" w:lineRule="auto"/>
        <w:ind w:firstLine="720"/>
        <w:rPr>
          <w:rFonts w:ascii="Times New Roman" w:hAnsi="Times New Roman" w:cs="Times New Roman"/>
          <w:sz w:val="24"/>
          <w:szCs w:val="24"/>
        </w:rPr>
      </w:pPr>
      <w:r w:rsidRPr="00AD1124">
        <w:rPr>
          <w:rFonts w:ascii="Times New Roman" w:hAnsi="Times New Roman" w:cs="Times New Roman"/>
          <w:sz w:val="24"/>
          <w:szCs w:val="24"/>
        </w:rPr>
        <w:t>Implementation of the provision of s.1963</w:t>
      </w:r>
      <w:r w:rsidR="00FD2C7A">
        <w:rPr>
          <w:rFonts w:ascii="Times New Roman" w:hAnsi="Times New Roman" w:cs="Times New Roman"/>
          <w:sz w:val="24"/>
          <w:szCs w:val="24"/>
        </w:rPr>
        <w:t xml:space="preserve"> of the Act</w:t>
      </w:r>
      <w:r w:rsidRPr="00AD1124">
        <w:rPr>
          <w:rFonts w:ascii="Times New Roman" w:hAnsi="Times New Roman" w:cs="Times New Roman"/>
          <w:sz w:val="24"/>
          <w:szCs w:val="24"/>
        </w:rPr>
        <w:t xml:space="preserve"> would minimize or eliminate the transnational crime of funding terrorist if those found culpable are handed maximum penalty. This is because those funding the terrorism would spend much time in jail, thereby denying them an opportunity to continue funding the activity. Jail terms alongside fining the person would serve as deterrence to other people who would be contemplating of engaging in same crime. </w:t>
      </w:r>
    </w:p>
    <w:p w:rsidR="00AD1124" w:rsidRPr="00AD1124" w:rsidRDefault="00AD1124" w:rsidP="00FD2C7A">
      <w:pPr>
        <w:spacing w:line="480" w:lineRule="auto"/>
        <w:jc w:val="center"/>
        <w:rPr>
          <w:rFonts w:ascii="Times New Roman" w:hAnsi="Times New Roman" w:cs="Times New Roman"/>
          <w:b/>
          <w:sz w:val="24"/>
          <w:szCs w:val="24"/>
        </w:rPr>
      </w:pPr>
      <w:r w:rsidRPr="00AD1124">
        <w:rPr>
          <w:rFonts w:ascii="Times New Roman" w:hAnsi="Times New Roman" w:cs="Times New Roman"/>
          <w:b/>
          <w:sz w:val="24"/>
          <w:szCs w:val="24"/>
        </w:rPr>
        <w:t>Recommendations and Solutions</w:t>
      </w:r>
    </w:p>
    <w:p w:rsidR="005D2B90" w:rsidRDefault="00AD1124" w:rsidP="00FD2C7A">
      <w:pPr>
        <w:spacing w:line="480" w:lineRule="auto"/>
        <w:ind w:firstLine="720"/>
        <w:rPr>
          <w:rFonts w:ascii="Times New Roman" w:hAnsi="Times New Roman" w:cs="Times New Roman"/>
          <w:sz w:val="24"/>
          <w:szCs w:val="24"/>
        </w:rPr>
      </w:pPr>
      <w:r w:rsidRPr="00AD1124">
        <w:rPr>
          <w:rFonts w:ascii="Times New Roman" w:hAnsi="Times New Roman" w:cs="Times New Roman"/>
          <w:sz w:val="24"/>
          <w:szCs w:val="24"/>
        </w:rPr>
        <w:t xml:space="preserve">To effectively reduce or eliminate transnational crimes funding to the terrorist organization, the United States should keep on reviewing its strategies to capture the emerging issues. It is recommended that the state should address the conditions conducive to the funding of terrorism, such as the use of internet and </w:t>
      </w:r>
      <w:proofErr w:type="spellStart"/>
      <w:r w:rsidRPr="00AD1124">
        <w:rPr>
          <w:rFonts w:ascii="Times New Roman" w:hAnsi="Times New Roman" w:cs="Times New Roman"/>
          <w:sz w:val="24"/>
          <w:szCs w:val="24"/>
        </w:rPr>
        <w:t>bitcoins</w:t>
      </w:r>
      <w:proofErr w:type="spellEnd"/>
      <w:r>
        <w:rPr>
          <w:rFonts w:ascii="Times New Roman" w:hAnsi="Times New Roman" w:cs="Times New Roman"/>
          <w:sz w:val="24"/>
          <w:szCs w:val="24"/>
        </w:rPr>
        <w:t xml:space="preserve"> and other </w:t>
      </w:r>
      <w:proofErr w:type="spellStart"/>
      <w:r>
        <w:rPr>
          <w:rFonts w:ascii="Times New Roman" w:hAnsi="Times New Roman" w:cs="Times New Roman"/>
          <w:sz w:val="24"/>
          <w:szCs w:val="24"/>
        </w:rPr>
        <w:t>blockchain</w:t>
      </w:r>
      <w:proofErr w:type="spellEnd"/>
      <w:r>
        <w:rPr>
          <w:rFonts w:ascii="Times New Roman" w:hAnsi="Times New Roman" w:cs="Times New Roman"/>
          <w:sz w:val="24"/>
          <w:szCs w:val="24"/>
        </w:rPr>
        <w:t xml:space="preserve"> technology</w:t>
      </w:r>
      <w:r w:rsidRPr="00AD1124">
        <w:rPr>
          <w:rFonts w:ascii="Times New Roman" w:hAnsi="Times New Roman" w:cs="Times New Roman"/>
          <w:sz w:val="24"/>
          <w:szCs w:val="24"/>
        </w:rPr>
        <w:t xml:space="preserve">. The banks should adhere to the doctrine of "KYC" by establishing the activities of their clients. It would also be for the best interest of Americans and the entire world for the law enforcement agencies to collaborate with an online platform that provides money transfer services like </w:t>
      </w:r>
      <w:proofErr w:type="spellStart"/>
      <w:r w:rsidRPr="00AD1124">
        <w:rPr>
          <w:rFonts w:ascii="Times New Roman" w:hAnsi="Times New Roman" w:cs="Times New Roman"/>
          <w:sz w:val="24"/>
          <w:szCs w:val="24"/>
        </w:rPr>
        <w:t>Paypal</w:t>
      </w:r>
      <w:proofErr w:type="spellEnd"/>
      <w:r w:rsidRPr="00AD1124">
        <w:rPr>
          <w:rFonts w:ascii="Times New Roman" w:hAnsi="Times New Roman" w:cs="Times New Roman"/>
          <w:sz w:val="24"/>
          <w:szCs w:val="24"/>
        </w:rPr>
        <w:t xml:space="preserve"> to </w:t>
      </w:r>
      <w:r w:rsidRPr="00AD1124">
        <w:rPr>
          <w:rFonts w:ascii="Times New Roman" w:hAnsi="Times New Roman" w:cs="Times New Roman"/>
          <w:sz w:val="24"/>
          <w:szCs w:val="24"/>
        </w:rPr>
        <w:lastRenderedPageBreak/>
        <w:t>monitor suspicious transactions</w:t>
      </w:r>
      <w:r w:rsidR="00E85D81">
        <w:rPr>
          <w:rFonts w:ascii="Times New Roman" w:hAnsi="Times New Roman" w:cs="Times New Roman"/>
          <w:sz w:val="24"/>
          <w:szCs w:val="24"/>
        </w:rPr>
        <w:t xml:space="preserve"> (Lai, 2018)</w:t>
      </w:r>
      <w:r w:rsidRPr="00AD1124">
        <w:rPr>
          <w:rFonts w:ascii="Times New Roman" w:hAnsi="Times New Roman" w:cs="Times New Roman"/>
          <w:sz w:val="24"/>
          <w:szCs w:val="24"/>
        </w:rPr>
        <w:t>. Promoting the culture of reporting suspicious activity of the member of the society such as visiting countries associated with terrorism would reduce cases of funding of terror groups.</w:t>
      </w:r>
      <w:r w:rsidR="00FD2C7A">
        <w:rPr>
          <w:rFonts w:ascii="Times New Roman" w:hAnsi="Times New Roman" w:cs="Times New Roman"/>
          <w:sz w:val="24"/>
          <w:szCs w:val="24"/>
        </w:rPr>
        <w:t xml:space="preserve"> </w:t>
      </w:r>
      <w:r w:rsidR="00FD2C7A" w:rsidRPr="00FD2C7A">
        <w:rPr>
          <w:rFonts w:ascii="Times New Roman" w:hAnsi="Times New Roman" w:cs="Times New Roman"/>
          <w:sz w:val="24"/>
          <w:szCs w:val="24"/>
        </w:rPr>
        <w:t xml:space="preserve">It is also recommended that law enforcement agencies should be well funded. Prosecution of those involved in a crime of terrorism as well as funding terrorists should be expedited </w:t>
      </w:r>
      <w:r w:rsidR="00FD2C7A">
        <w:rPr>
          <w:rFonts w:ascii="Times New Roman" w:hAnsi="Times New Roman" w:cs="Times New Roman"/>
          <w:sz w:val="24"/>
          <w:szCs w:val="24"/>
        </w:rPr>
        <w:t xml:space="preserve">for it to serve as a deterrence. The court ought to offer the maximum penalty to those found guilty of the offence of racketeering. </w:t>
      </w: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BE6D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85D81" w:rsidRDefault="007F1AAF" w:rsidP="00E85D81">
      <w:pPr>
        <w:spacing w:after="0" w:line="480" w:lineRule="auto"/>
        <w:ind w:left="720" w:hanging="720"/>
        <w:rPr>
          <w:rFonts w:ascii="Times New Roman" w:eastAsia="Times New Roman" w:hAnsi="Times New Roman" w:cs="Times New Roman"/>
          <w:sz w:val="24"/>
          <w:szCs w:val="24"/>
        </w:rPr>
      </w:pPr>
      <w:r w:rsidRPr="007F1AAF">
        <w:rPr>
          <w:rFonts w:ascii="Times New Roman" w:eastAsia="Times New Roman" w:hAnsi="Times New Roman" w:cs="Times New Roman"/>
          <w:sz w:val="24"/>
          <w:szCs w:val="24"/>
        </w:rPr>
        <w:t>Hill, J. (2017). An Analysis of the Racketeer Influenced Corrupt Organizations Act: How a Once Promising Bill Became a Corporate Nightmare.</w:t>
      </w:r>
    </w:p>
    <w:p w:rsidR="00E85D81" w:rsidRPr="00E85D81" w:rsidRDefault="00E85D81" w:rsidP="00E85D81">
      <w:pPr>
        <w:spacing w:after="0" w:line="480" w:lineRule="auto"/>
        <w:ind w:left="720" w:hanging="720"/>
        <w:rPr>
          <w:rFonts w:ascii="Times New Roman" w:eastAsia="Times New Roman" w:hAnsi="Times New Roman" w:cs="Times New Roman"/>
          <w:sz w:val="24"/>
          <w:szCs w:val="24"/>
        </w:rPr>
      </w:pPr>
      <w:r w:rsidRPr="00E85D81">
        <w:rPr>
          <w:rFonts w:ascii="Times New Roman" w:eastAsia="Times New Roman" w:hAnsi="Times New Roman" w:cs="Times New Roman"/>
          <w:sz w:val="24"/>
          <w:szCs w:val="24"/>
        </w:rPr>
        <w:t xml:space="preserve">Lai, K. (2018). </w:t>
      </w:r>
      <w:proofErr w:type="spellStart"/>
      <w:r w:rsidRPr="00E85D81">
        <w:rPr>
          <w:rFonts w:ascii="Times New Roman" w:eastAsia="Times New Roman" w:hAnsi="Times New Roman" w:cs="Times New Roman"/>
          <w:sz w:val="24"/>
          <w:szCs w:val="24"/>
        </w:rPr>
        <w:t>Blockchain</w:t>
      </w:r>
      <w:proofErr w:type="spellEnd"/>
      <w:r w:rsidRPr="00E85D81">
        <w:rPr>
          <w:rFonts w:ascii="Times New Roman" w:eastAsia="Times New Roman" w:hAnsi="Times New Roman" w:cs="Times New Roman"/>
          <w:sz w:val="24"/>
          <w:szCs w:val="24"/>
        </w:rPr>
        <w:t xml:space="preserve"> as AML tool: a work in progress. </w:t>
      </w:r>
      <w:r w:rsidRPr="00E85D81">
        <w:rPr>
          <w:rFonts w:ascii="Times New Roman" w:eastAsia="Times New Roman" w:hAnsi="Times New Roman" w:cs="Times New Roman"/>
          <w:i/>
          <w:iCs/>
          <w:sz w:val="24"/>
          <w:szCs w:val="24"/>
        </w:rPr>
        <w:t>International Financial Law Review</w:t>
      </w:r>
      <w:r w:rsidRPr="00E85D81">
        <w:rPr>
          <w:rFonts w:ascii="Times New Roman" w:eastAsia="Times New Roman" w:hAnsi="Times New Roman" w:cs="Times New Roman"/>
          <w:sz w:val="24"/>
          <w:szCs w:val="24"/>
        </w:rPr>
        <w:t>.</w:t>
      </w:r>
    </w:p>
    <w:p w:rsidR="00E85D81" w:rsidRPr="007F1AAF" w:rsidRDefault="00E85D81" w:rsidP="007F1AAF">
      <w:pPr>
        <w:spacing w:after="0" w:line="480" w:lineRule="auto"/>
        <w:ind w:left="720" w:hanging="720"/>
        <w:rPr>
          <w:rFonts w:ascii="Times New Roman" w:eastAsia="Times New Roman" w:hAnsi="Times New Roman" w:cs="Times New Roman"/>
          <w:sz w:val="24"/>
          <w:szCs w:val="24"/>
        </w:rPr>
      </w:pPr>
    </w:p>
    <w:p w:rsidR="007F1AAF" w:rsidRPr="00AD1124" w:rsidRDefault="007F1AAF" w:rsidP="007F1AAF">
      <w:pPr>
        <w:spacing w:line="480" w:lineRule="auto"/>
        <w:rPr>
          <w:rFonts w:ascii="Times New Roman" w:hAnsi="Times New Roman" w:cs="Times New Roman"/>
          <w:sz w:val="24"/>
          <w:szCs w:val="24"/>
        </w:rPr>
      </w:pPr>
    </w:p>
    <w:sectPr w:rsidR="007F1AAF" w:rsidRPr="00AD1124" w:rsidSect="00FD2C7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8F8" w:rsidRDefault="002038F8" w:rsidP="00FD2C7A">
      <w:pPr>
        <w:spacing w:after="0" w:line="240" w:lineRule="auto"/>
      </w:pPr>
      <w:r>
        <w:separator/>
      </w:r>
    </w:p>
  </w:endnote>
  <w:endnote w:type="continuationSeparator" w:id="0">
    <w:p w:rsidR="002038F8" w:rsidRDefault="002038F8" w:rsidP="00FD2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8F8" w:rsidRDefault="002038F8" w:rsidP="00FD2C7A">
      <w:pPr>
        <w:spacing w:after="0" w:line="240" w:lineRule="auto"/>
      </w:pPr>
      <w:r>
        <w:separator/>
      </w:r>
    </w:p>
  </w:footnote>
  <w:footnote w:type="continuationSeparator" w:id="0">
    <w:p w:rsidR="002038F8" w:rsidRDefault="002038F8" w:rsidP="00FD2C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C7A" w:rsidRPr="00FD2C7A" w:rsidRDefault="00FD2C7A">
    <w:pPr>
      <w:pStyle w:val="Header"/>
      <w:jc w:val="right"/>
      <w:rPr>
        <w:rFonts w:ascii="Times New Roman" w:hAnsi="Times New Roman" w:cs="Times New Roman"/>
        <w:sz w:val="24"/>
        <w:szCs w:val="24"/>
      </w:rPr>
    </w:pPr>
    <w:r w:rsidRPr="00FD2C7A">
      <w:rPr>
        <w:rFonts w:ascii="Times New Roman" w:hAnsi="Times New Roman" w:cs="Times New Roman"/>
        <w:sz w:val="24"/>
        <w:szCs w:val="24"/>
      </w:rPr>
      <w:t>LAW AGAINST FUNDING OF TERROR GROUPS</w:t>
    </w:r>
    <w:r w:rsidRPr="00FD2C7A">
      <w:rPr>
        <w:rFonts w:ascii="Times New Roman" w:hAnsi="Times New Roman" w:cs="Times New Roman"/>
        <w:sz w:val="24"/>
        <w:szCs w:val="24"/>
      </w:rPr>
      <w:tab/>
    </w:r>
    <w:sdt>
      <w:sdtPr>
        <w:rPr>
          <w:rFonts w:ascii="Times New Roman" w:hAnsi="Times New Roman" w:cs="Times New Roman"/>
          <w:sz w:val="24"/>
          <w:szCs w:val="24"/>
        </w:rPr>
        <w:id w:val="1596745680"/>
        <w:docPartObj>
          <w:docPartGallery w:val="Page Numbers (Top of Page)"/>
          <w:docPartUnique/>
        </w:docPartObj>
      </w:sdtPr>
      <w:sdtEndPr>
        <w:rPr>
          <w:noProof/>
        </w:rPr>
      </w:sdtEndPr>
      <w:sdtContent>
        <w:r w:rsidRPr="00FD2C7A">
          <w:rPr>
            <w:rFonts w:ascii="Times New Roman" w:hAnsi="Times New Roman" w:cs="Times New Roman"/>
            <w:sz w:val="24"/>
            <w:szCs w:val="24"/>
          </w:rPr>
          <w:fldChar w:fldCharType="begin"/>
        </w:r>
        <w:r w:rsidRPr="00FD2C7A">
          <w:rPr>
            <w:rFonts w:ascii="Times New Roman" w:hAnsi="Times New Roman" w:cs="Times New Roman"/>
            <w:sz w:val="24"/>
            <w:szCs w:val="24"/>
          </w:rPr>
          <w:instrText xml:space="preserve"> PAGE   \* MERGEFORMAT </w:instrText>
        </w:r>
        <w:r w:rsidRPr="00FD2C7A">
          <w:rPr>
            <w:rFonts w:ascii="Times New Roman" w:hAnsi="Times New Roman" w:cs="Times New Roman"/>
            <w:sz w:val="24"/>
            <w:szCs w:val="24"/>
          </w:rPr>
          <w:fldChar w:fldCharType="separate"/>
        </w:r>
        <w:r w:rsidR="00A47729">
          <w:rPr>
            <w:rFonts w:ascii="Times New Roman" w:hAnsi="Times New Roman" w:cs="Times New Roman"/>
            <w:noProof/>
            <w:sz w:val="24"/>
            <w:szCs w:val="24"/>
          </w:rPr>
          <w:t>2</w:t>
        </w:r>
        <w:r w:rsidRPr="00FD2C7A">
          <w:rPr>
            <w:rFonts w:ascii="Times New Roman" w:hAnsi="Times New Roman" w:cs="Times New Roman"/>
            <w:noProof/>
            <w:sz w:val="24"/>
            <w:szCs w:val="24"/>
          </w:rPr>
          <w:fldChar w:fldCharType="end"/>
        </w:r>
      </w:sdtContent>
    </w:sdt>
  </w:p>
  <w:p w:rsidR="00FD2C7A" w:rsidRPr="00FD2C7A" w:rsidRDefault="00FD2C7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C7A" w:rsidRPr="00FD2C7A" w:rsidRDefault="00FD2C7A">
    <w:pPr>
      <w:pStyle w:val="Header"/>
      <w:jc w:val="right"/>
      <w:rPr>
        <w:rFonts w:ascii="Times New Roman" w:hAnsi="Times New Roman" w:cs="Times New Roman"/>
        <w:sz w:val="24"/>
        <w:szCs w:val="24"/>
      </w:rPr>
    </w:pPr>
    <w:r w:rsidRPr="00FD2C7A">
      <w:rPr>
        <w:rFonts w:ascii="Times New Roman" w:hAnsi="Times New Roman" w:cs="Times New Roman"/>
        <w:sz w:val="24"/>
        <w:szCs w:val="24"/>
      </w:rPr>
      <w:t>Running head: LAW AGAINST FUNDING OF TERROR GROUPS</w:t>
    </w:r>
    <w:r w:rsidRPr="00FD2C7A">
      <w:rPr>
        <w:rFonts w:ascii="Times New Roman" w:hAnsi="Times New Roman" w:cs="Times New Roman"/>
        <w:sz w:val="24"/>
        <w:szCs w:val="24"/>
      </w:rPr>
      <w:tab/>
    </w:r>
    <w:sdt>
      <w:sdtPr>
        <w:rPr>
          <w:rFonts w:ascii="Times New Roman" w:hAnsi="Times New Roman" w:cs="Times New Roman"/>
          <w:sz w:val="24"/>
          <w:szCs w:val="24"/>
        </w:rPr>
        <w:id w:val="1887836438"/>
        <w:docPartObj>
          <w:docPartGallery w:val="Page Numbers (Top of Page)"/>
          <w:docPartUnique/>
        </w:docPartObj>
      </w:sdtPr>
      <w:sdtEndPr>
        <w:rPr>
          <w:noProof/>
        </w:rPr>
      </w:sdtEndPr>
      <w:sdtContent>
        <w:r w:rsidRPr="00FD2C7A">
          <w:rPr>
            <w:rFonts w:ascii="Times New Roman" w:hAnsi="Times New Roman" w:cs="Times New Roman"/>
            <w:sz w:val="24"/>
            <w:szCs w:val="24"/>
          </w:rPr>
          <w:fldChar w:fldCharType="begin"/>
        </w:r>
        <w:r w:rsidRPr="00FD2C7A">
          <w:rPr>
            <w:rFonts w:ascii="Times New Roman" w:hAnsi="Times New Roman" w:cs="Times New Roman"/>
            <w:sz w:val="24"/>
            <w:szCs w:val="24"/>
          </w:rPr>
          <w:instrText xml:space="preserve"> PAGE   \* MERGEFORMAT </w:instrText>
        </w:r>
        <w:r w:rsidRPr="00FD2C7A">
          <w:rPr>
            <w:rFonts w:ascii="Times New Roman" w:hAnsi="Times New Roman" w:cs="Times New Roman"/>
            <w:sz w:val="24"/>
            <w:szCs w:val="24"/>
          </w:rPr>
          <w:fldChar w:fldCharType="separate"/>
        </w:r>
        <w:r w:rsidR="00A47729">
          <w:rPr>
            <w:rFonts w:ascii="Times New Roman" w:hAnsi="Times New Roman" w:cs="Times New Roman"/>
            <w:noProof/>
            <w:sz w:val="24"/>
            <w:szCs w:val="24"/>
          </w:rPr>
          <w:t>1</w:t>
        </w:r>
        <w:r w:rsidRPr="00FD2C7A">
          <w:rPr>
            <w:rFonts w:ascii="Times New Roman" w:hAnsi="Times New Roman" w:cs="Times New Roman"/>
            <w:noProof/>
            <w:sz w:val="24"/>
            <w:szCs w:val="24"/>
          </w:rPr>
          <w:fldChar w:fldCharType="end"/>
        </w:r>
      </w:sdtContent>
    </w:sdt>
  </w:p>
  <w:p w:rsidR="00FD2C7A" w:rsidRPr="00FD2C7A" w:rsidRDefault="00FD2C7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04B"/>
    <w:rsid w:val="0012304B"/>
    <w:rsid w:val="002038F8"/>
    <w:rsid w:val="005D2B90"/>
    <w:rsid w:val="0066153E"/>
    <w:rsid w:val="007F1AAF"/>
    <w:rsid w:val="00A47729"/>
    <w:rsid w:val="00AD1124"/>
    <w:rsid w:val="00B54462"/>
    <w:rsid w:val="00BE6D6A"/>
    <w:rsid w:val="00CD789D"/>
    <w:rsid w:val="00DE79EF"/>
    <w:rsid w:val="00E85D81"/>
    <w:rsid w:val="00FD2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C7A"/>
  </w:style>
  <w:style w:type="paragraph" w:styleId="Footer">
    <w:name w:val="footer"/>
    <w:basedOn w:val="Normal"/>
    <w:link w:val="FooterChar"/>
    <w:uiPriority w:val="99"/>
    <w:unhideWhenUsed/>
    <w:rsid w:val="00FD2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C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C7A"/>
  </w:style>
  <w:style w:type="paragraph" w:styleId="Footer">
    <w:name w:val="footer"/>
    <w:basedOn w:val="Normal"/>
    <w:link w:val="FooterChar"/>
    <w:uiPriority w:val="99"/>
    <w:unhideWhenUsed/>
    <w:rsid w:val="00FD2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263460">
      <w:bodyDiv w:val="1"/>
      <w:marLeft w:val="0"/>
      <w:marRight w:val="0"/>
      <w:marTop w:val="0"/>
      <w:marBottom w:val="0"/>
      <w:divBdr>
        <w:top w:val="none" w:sz="0" w:space="0" w:color="auto"/>
        <w:left w:val="none" w:sz="0" w:space="0" w:color="auto"/>
        <w:bottom w:val="none" w:sz="0" w:space="0" w:color="auto"/>
        <w:right w:val="none" w:sz="0" w:space="0" w:color="auto"/>
      </w:divBdr>
      <w:divsChild>
        <w:div w:id="1570191778">
          <w:marLeft w:val="0"/>
          <w:marRight w:val="0"/>
          <w:marTop w:val="0"/>
          <w:marBottom w:val="0"/>
          <w:divBdr>
            <w:top w:val="none" w:sz="0" w:space="0" w:color="auto"/>
            <w:left w:val="none" w:sz="0" w:space="0" w:color="auto"/>
            <w:bottom w:val="none" w:sz="0" w:space="0" w:color="auto"/>
            <w:right w:val="none" w:sz="0" w:space="0" w:color="auto"/>
          </w:divBdr>
        </w:div>
      </w:divsChild>
    </w:div>
    <w:div w:id="493498617">
      <w:bodyDiv w:val="1"/>
      <w:marLeft w:val="0"/>
      <w:marRight w:val="0"/>
      <w:marTop w:val="0"/>
      <w:marBottom w:val="0"/>
      <w:divBdr>
        <w:top w:val="none" w:sz="0" w:space="0" w:color="auto"/>
        <w:left w:val="none" w:sz="0" w:space="0" w:color="auto"/>
        <w:bottom w:val="none" w:sz="0" w:space="0" w:color="auto"/>
        <w:right w:val="none" w:sz="0" w:space="0" w:color="auto"/>
      </w:divBdr>
      <w:divsChild>
        <w:div w:id="543368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FA68A-6C60-47FD-9112-DA693F01E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2018-10-01T17:24:00Z</dcterms:created>
  <dcterms:modified xsi:type="dcterms:W3CDTF">2018-10-01T17:24:00Z</dcterms:modified>
</cp:coreProperties>
</file>